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0E" w:rsidRPr="001719CD" w:rsidRDefault="00570423" w:rsidP="001719C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>Ин</w:t>
      </w:r>
      <w:r w:rsidR="001719CD" w:rsidRPr="001719CD">
        <w:rPr>
          <w:rFonts w:ascii="Times New Roman" w:hAnsi="Times New Roman" w:cs="Times New Roman"/>
          <w:sz w:val="32"/>
          <w:szCs w:val="28"/>
        </w:rPr>
        <w:t>формация об участнике конкурса</w:t>
      </w:r>
    </w:p>
    <w:p w:rsidR="001719CD" w:rsidRDefault="001719CD" w:rsidP="00570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423" w:rsidRPr="001719CD" w:rsidRDefault="00570423" w:rsidP="001719CD">
      <w:pPr>
        <w:jc w:val="center"/>
        <w:rPr>
          <w:rFonts w:ascii="Times New Roman" w:hAnsi="Times New Roman" w:cs="Times New Roman"/>
          <w:sz w:val="44"/>
          <w:szCs w:val="28"/>
        </w:rPr>
      </w:pPr>
      <w:r w:rsidRPr="001719CD">
        <w:rPr>
          <w:rFonts w:ascii="Times New Roman" w:hAnsi="Times New Roman" w:cs="Times New Roman"/>
          <w:sz w:val="44"/>
          <w:szCs w:val="28"/>
        </w:rPr>
        <w:t xml:space="preserve">Ахметзянов </w:t>
      </w:r>
      <w:proofErr w:type="spellStart"/>
      <w:r w:rsidRPr="001719CD">
        <w:rPr>
          <w:rFonts w:ascii="Times New Roman" w:hAnsi="Times New Roman" w:cs="Times New Roman"/>
          <w:sz w:val="44"/>
          <w:szCs w:val="28"/>
        </w:rPr>
        <w:t>Ильназ</w:t>
      </w:r>
      <w:proofErr w:type="spellEnd"/>
      <w:r w:rsidRPr="001719CD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 w:rsidRPr="001719CD">
        <w:rPr>
          <w:rFonts w:ascii="Times New Roman" w:hAnsi="Times New Roman" w:cs="Times New Roman"/>
          <w:sz w:val="44"/>
          <w:szCs w:val="28"/>
        </w:rPr>
        <w:t>Зуф</w:t>
      </w:r>
      <w:r w:rsidR="001719CD" w:rsidRPr="001719CD">
        <w:rPr>
          <w:rFonts w:ascii="Times New Roman" w:hAnsi="Times New Roman" w:cs="Times New Roman"/>
          <w:sz w:val="44"/>
          <w:szCs w:val="28"/>
        </w:rPr>
        <w:t>а</w:t>
      </w:r>
      <w:r w:rsidRPr="001719CD">
        <w:rPr>
          <w:rFonts w:ascii="Times New Roman" w:hAnsi="Times New Roman" w:cs="Times New Roman"/>
          <w:sz w:val="44"/>
          <w:szCs w:val="28"/>
        </w:rPr>
        <w:t>рович</w:t>
      </w:r>
      <w:proofErr w:type="spellEnd"/>
      <w:r w:rsidR="001719CD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0A9D27" wp14:editId="2B3BBA69">
            <wp:simplePos x="0" y="0"/>
            <wp:positionH relativeFrom="column">
              <wp:posOffset>-2045970</wp:posOffset>
            </wp:positionH>
            <wp:positionV relativeFrom="paragraph">
              <wp:posOffset>-4358640</wp:posOffset>
            </wp:positionV>
            <wp:extent cx="10675620" cy="14345285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1518" r="3711" b="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1434528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70423" w:rsidRDefault="00570423" w:rsidP="0017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4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DA1D4" wp14:editId="2DB63029">
            <wp:extent cx="2743407" cy="3755853"/>
            <wp:effectExtent l="171450" t="171450" r="381000" b="3594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33529" r="48602" b="16711"/>
                    <a:stretch/>
                  </pic:blipFill>
                  <pic:spPr bwMode="auto">
                    <a:xfrm>
                      <a:off x="0" y="0"/>
                      <a:ext cx="2741672" cy="3753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570423" w:rsidRPr="001719CD" w:rsidRDefault="001719CD" w:rsidP="00570423">
      <w:pPr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>Преподаваемые предметы: история и обществознание</w:t>
      </w:r>
    </w:p>
    <w:p w:rsidR="001719CD" w:rsidRPr="001719CD" w:rsidRDefault="001719CD" w:rsidP="00570423">
      <w:pPr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 xml:space="preserve">Образовательная организация: МБОУ «Лицей №35 – образовательный центр «Галактика» Приволжского района </w:t>
      </w:r>
      <w:proofErr w:type="spellStart"/>
      <w:r w:rsidRPr="001719CD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Pr="001719CD">
        <w:rPr>
          <w:rFonts w:ascii="Times New Roman" w:hAnsi="Times New Roman" w:cs="Times New Roman"/>
          <w:sz w:val="32"/>
          <w:szCs w:val="28"/>
        </w:rPr>
        <w:t>.К</w:t>
      </w:r>
      <w:proofErr w:type="gramEnd"/>
      <w:r w:rsidRPr="001719CD">
        <w:rPr>
          <w:rFonts w:ascii="Times New Roman" w:hAnsi="Times New Roman" w:cs="Times New Roman"/>
          <w:sz w:val="32"/>
          <w:szCs w:val="28"/>
        </w:rPr>
        <w:t>азани</w:t>
      </w:r>
      <w:proofErr w:type="spellEnd"/>
    </w:p>
    <w:p w:rsidR="00570423" w:rsidRPr="001719CD" w:rsidRDefault="00570423" w:rsidP="00570423">
      <w:pPr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>Квалификационная категория:</w:t>
      </w:r>
      <w:r w:rsidR="001719CD" w:rsidRPr="001719CD">
        <w:rPr>
          <w:rFonts w:ascii="Times New Roman" w:hAnsi="Times New Roman" w:cs="Times New Roman"/>
          <w:sz w:val="32"/>
          <w:szCs w:val="28"/>
        </w:rPr>
        <w:t xml:space="preserve"> нет квалификационной категории</w:t>
      </w:r>
    </w:p>
    <w:p w:rsidR="001719CD" w:rsidRPr="001719CD" w:rsidRDefault="001719CD" w:rsidP="00570423">
      <w:pPr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>Стаж работы: 4 месяца</w:t>
      </w:r>
    </w:p>
    <w:p w:rsidR="00AD30CC" w:rsidRPr="001719CD" w:rsidRDefault="00570423" w:rsidP="00570423">
      <w:pPr>
        <w:rPr>
          <w:rFonts w:ascii="Times New Roman" w:hAnsi="Times New Roman" w:cs="Times New Roman"/>
          <w:sz w:val="32"/>
          <w:szCs w:val="28"/>
        </w:rPr>
      </w:pPr>
      <w:r w:rsidRPr="001719CD">
        <w:rPr>
          <w:rFonts w:ascii="Times New Roman" w:hAnsi="Times New Roman" w:cs="Times New Roman"/>
          <w:sz w:val="32"/>
          <w:szCs w:val="28"/>
        </w:rPr>
        <w:t xml:space="preserve">Методическая тема:  «Формирование </w:t>
      </w:r>
      <w:r w:rsidR="003E0248">
        <w:rPr>
          <w:rFonts w:ascii="Times New Roman" w:hAnsi="Times New Roman" w:cs="Times New Roman"/>
          <w:sz w:val="32"/>
          <w:szCs w:val="28"/>
        </w:rPr>
        <w:t>ключевых</w:t>
      </w:r>
      <w:r w:rsidRPr="001719CD">
        <w:rPr>
          <w:rFonts w:ascii="Times New Roman" w:hAnsi="Times New Roman" w:cs="Times New Roman"/>
          <w:sz w:val="32"/>
          <w:szCs w:val="28"/>
        </w:rPr>
        <w:t xml:space="preserve"> компетенций обучающихся на основе активных форм </w:t>
      </w:r>
      <w:r w:rsidR="001719CD">
        <w:rPr>
          <w:rFonts w:ascii="Times New Roman" w:hAnsi="Times New Roman" w:cs="Times New Roman"/>
          <w:sz w:val="32"/>
          <w:szCs w:val="28"/>
        </w:rPr>
        <w:t>работы</w:t>
      </w:r>
      <w:r w:rsidRPr="001719CD">
        <w:rPr>
          <w:rFonts w:ascii="Times New Roman" w:hAnsi="Times New Roman" w:cs="Times New Roman"/>
          <w:sz w:val="32"/>
          <w:szCs w:val="28"/>
        </w:rPr>
        <w:t xml:space="preserve"> на уроках истории»</w:t>
      </w:r>
    </w:p>
    <w:p w:rsidR="00AD30CC" w:rsidRPr="001719CD" w:rsidRDefault="00AD30CC" w:rsidP="00570423">
      <w:pPr>
        <w:rPr>
          <w:rFonts w:ascii="Times New Roman" w:hAnsi="Times New Roman" w:cs="Times New Roman"/>
          <w:sz w:val="32"/>
          <w:szCs w:val="28"/>
        </w:rPr>
      </w:pPr>
    </w:p>
    <w:p w:rsidR="00AD30CC" w:rsidRDefault="00AD30CC" w:rsidP="00570423">
      <w:pPr>
        <w:rPr>
          <w:rFonts w:ascii="Times New Roman" w:hAnsi="Times New Roman" w:cs="Times New Roman"/>
          <w:sz w:val="28"/>
          <w:szCs w:val="28"/>
        </w:rPr>
      </w:pPr>
    </w:p>
    <w:p w:rsidR="00570423" w:rsidRPr="006A0E18" w:rsidRDefault="00275400" w:rsidP="006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Концепции развития образования на 2016-2020 год отмечается, что </w:t>
      </w:r>
      <w:r w:rsidRPr="006A0E18">
        <w:rPr>
          <w:rFonts w:ascii="Times New Roman" w:hAnsi="Times New Roman" w:cs="Times New Roman"/>
          <w:sz w:val="28"/>
          <w:szCs w:val="28"/>
        </w:rPr>
        <w:t>для наиболее эффективного развития образование в РФ должно быть направлено на «формирование конкурентоспособного человеческого потенциала», способного реализовать себя не только в пределах РФ, но и в мировом масштабе. С</w:t>
      </w:r>
      <w:r w:rsidRPr="006A0E18">
        <w:rPr>
          <w:rFonts w:ascii="Times New Roman" w:eastAsia="Times New Roman" w:hAnsi="Times New Roman" w:cs="Times New Roman"/>
          <w:sz w:val="28"/>
          <w:szCs w:val="28"/>
        </w:rPr>
        <w:t xml:space="preserve">егодня на первый план выходят задачи приобретения учащимися школы способности творчески мыслить, создавать качественно новый продукт для научного и общественного прогресса.  Выпускник школы должен осмысленно действовать в ситуации выбора,  грамотно ставить перед собой цели и достигать их. </w:t>
      </w:r>
      <w:r w:rsidRPr="006A0E18">
        <w:rPr>
          <w:rFonts w:ascii="Times New Roman" w:hAnsi="Times New Roman" w:cs="Times New Roman"/>
          <w:sz w:val="28"/>
          <w:szCs w:val="28"/>
        </w:rPr>
        <w:t xml:space="preserve">Поэтому основная задача моей педагогической деятельности – способствовать </w:t>
      </w:r>
      <w:r w:rsidR="00247402" w:rsidRPr="006A0E18">
        <w:rPr>
          <w:rFonts w:ascii="Times New Roman" w:hAnsi="Times New Roman" w:cs="Times New Roman"/>
          <w:sz w:val="28"/>
          <w:szCs w:val="28"/>
        </w:rPr>
        <w:t>получени</w:t>
      </w:r>
      <w:r w:rsidRPr="006A0E18">
        <w:rPr>
          <w:rFonts w:ascii="Times New Roman" w:hAnsi="Times New Roman" w:cs="Times New Roman"/>
          <w:sz w:val="28"/>
          <w:szCs w:val="28"/>
        </w:rPr>
        <w:t>ю</w:t>
      </w:r>
      <w:r w:rsidR="00247402" w:rsidRPr="006A0E18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B97CBE" w:rsidRPr="006A0E18">
        <w:rPr>
          <w:rFonts w:ascii="Times New Roman" w:hAnsi="Times New Roman" w:cs="Times New Roman"/>
          <w:sz w:val="28"/>
          <w:szCs w:val="28"/>
        </w:rPr>
        <w:t xml:space="preserve">димых  умений, которые позволят </w:t>
      </w:r>
      <w:r w:rsidRPr="006A0E18">
        <w:rPr>
          <w:rFonts w:ascii="Times New Roman" w:hAnsi="Times New Roman" w:cs="Times New Roman"/>
          <w:sz w:val="28"/>
          <w:szCs w:val="28"/>
        </w:rPr>
        <w:t xml:space="preserve">детям научиться </w:t>
      </w:r>
      <w:r w:rsidR="00247402" w:rsidRPr="006A0E18">
        <w:rPr>
          <w:rFonts w:ascii="Times New Roman" w:hAnsi="Times New Roman" w:cs="Times New Roman"/>
          <w:sz w:val="28"/>
          <w:szCs w:val="28"/>
        </w:rPr>
        <w:t xml:space="preserve">решать </w:t>
      </w:r>
      <w:r w:rsidRPr="006A0E18">
        <w:rPr>
          <w:rFonts w:ascii="Times New Roman" w:hAnsi="Times New Roman" w:cs="Times New Roman"/>
          <w:sz w:val="28"/>
          <w:szCs w:val="28"/>
        </w:rPr>
        <w:t xml:space="preserve">задачи, преподносимые жизнью. </w:t>
      </w:r>
      <w:r w:rsidR="00EF17F9" w:rsidRPr="006A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EB" w:rsidRPr="006A0E18" w:rsidRDefault="00C759EB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ab/>
      </w:r>
      <w:r w:rsidRPr="006A0E18">
        <w:rPr>
          <w:rFonts w:ascii="Times New Roman" w:hAnsi="Times New Roman" w:cs="Times New Roman"/>
          <w:b/>
          <w:sz w:val="28"/>
          <w:szCs w:val="28"/>
        </w:rPr>
        <w:t>Цель</w:t>
      </w:r>
      <w:r w:rsidRPr="006A0E18">
        <w:rPr>
          <w:rFonts w:ascii="Times New Roman" w:hAnsi="Times New Roman" w:cs="Times New Roman"/>
          <w:sz w:val="28"/>
          <w:szCs w:val="28"/>
        </w:rPr>
        <w:t xml:space="preserve"> м</w:t>
      </w:r>
      <w:r w:rsidR="00275400" w:rsidRPr="006A0E18">
        <w:rPr>
          <w:rFonts w:ascii="Times New Roman" w:hAnsi="Times New Roman" w:cs="Times New Roman"/>
          <w:sz w:val="28"/>
          <w:szCs w:val="28"/>
        </w:rPr>
        <w:t>оей педагогической деятельности</w:t>
      </w:r>
      <w:r w:rsidRPr="006A0E18">
        <w:rPr>
          <w:rFonts w:ascii="Times New Roman" w:hAnsi="Times New Roman" w:cs="Times New Roman"/>
          <w:sz w:val="28"/>
          <w:szCs w:val="28"/>
        </w:rPr>
        <w:t xml:space="preserve">: «Создание условий для формирования </w:t>
      </w:r>
      <w:r w:rsidR="003E0248">
        <w:rPr>
          <w:rFonts w:ascii="Times New Roman" w:hAnsi="Times New Roman" w:cs="Times New Roman"/>
          <w:sz w:val="28"/>
          <w:szCs w:val="28"/>
        </w:rPr>
        <w:t>ключевых</w:t>
      </w:r>
      <w:r w:rsidRPr="006A0E18">
        <w:rPr>
          <w:rFonts w:ascii="Times New Roman" w:hAnsi="Times New Roman" w:cs="Times New Roman"/>
          <w:sz w:val="28"/>
          <w:szCs w:val="28"/>
        </w:rPr>
        <w:t xml:space="preserve"> компетенций обучающихся на основе активных форм </w:t>
      </w:r>
      <w:r w:rsidR="00275400" w:rsidRPr="006A0E18">
        <w:rPr>
          <w:rFonts w:ascii="Times New Roman" w:hAnsi="Times New Roman" w:cs="Times New Roman"/>
          <w:sz w:val="28"/>
          <w:szCs w:val="28"/>
        </w:rPr>
        <w:t>работы</w:t>
      </w:r>
      <w:r w:rsidRPr="006A0E18">
        <w:rPr>
          <w:rFonts w:ascii="Times New Roman" w:hAnsi="Times New Roman" w:cs="Times New Roman"/>
          <w:sz w:val="28"/>
          <w:szCs w:val="28"/>
        </w:rPr>
        <w:t xml:space="preserve"> на уроках истории».</w:t>
      </w:r>
    </w:p>
    <w:p w:rsidR="00247402" w:rsidRPr="006A0E18" w:rsidRDefault="00275400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Для достижения поставленной цели сформулированы следующие задачи</w:t>
      </w:r>
      <w:r w:rsidR="00247402" w:rsidRPr="006A0E18">
        <w:rPr>
          <w:rFonts w:ascii="Times New Roman" w:hAnsi="Times New Roman" w:cs="Times New Roman"/>
          <w:sz w:val="28"/>
          <w:szCs w:val="28"/>
        </w:rPr>
        <w:t>:</w:t>
      </w:r>
    </w:p>
    <w:p w:rsidR="00247402" w:rsidRPr="006A0E18" w:rsidRDefault="00247402" w:rsidP="006A0E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Изучить и проанализировать методическую литературу по теме деятельности;</w:t>
      </w:r>
    </w:p>
    <w:p w:rsidR="00247402" w:rsidRPr="006A0E18" w:rsidRDefault="00247402" w:rsidP="006A0E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Сформировать банк дидактических материалов, направленных  на формирова</w:t>
      </w:r>
      <w:r w:rsidR="00275400" w:rsidRPr="006A0E18">
        <w:rPr>
          <w:rFonts w:ascii="Times New Roman" w:hAnsi="Times New Roman" w:cs="Times New Roman"/>
          <w:sz w:val="28"/>
          <w:szCs w:val="28"/>
        </w:rPr>
        <w:t xml:space="preserve">ние </w:t>
      </w:r>
      <w:r w:rsidR="003E0248">
        <w:rPr>
          <w:rFonts w:ascii="Times New Roman" w:hAnsi="Times New Roman" w:cs="Times New Roman"/>
          <w:sz w:val="28"/>
          <w:szCs w:val="28"/>
        </w:rPr>
        <w:t>ключевых</w:t>
      </w:r>
      <w:r w:rsidR="00275400" w:rsidRPr="006A0E18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247402" w:rsidRPr="006A0E18" w:rsidRDefault="00247402" w:rsidP="006A0E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Внедрить в педагогическую практику формы работы, направленные на развитие </w:t>
      </w:r>
      <w:r w:rsidR="003E0248">
        <w:rPr>
          <w:rFonts w:ascii="Times New Roman" w:hAnsi="Times New Roman" w:cs="Times New Roman"/>
          <w:sz w:val="28"/>
          <w:szCs w:val="28"/>
        </w:rPr>
        <w:t>ключевых</w:t>
      </w:r>
      <w:r w:rsidRPr="006A0E18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275400" w:rsidRPr="006A0E18">
        <w:rPr>
          <w:rFonts w:ascii="Times New Roman" w:hAnsi="Times New Roman" w:cs="Times New Roman"/>
          <w:sz w:val="28"/>
          <w:szCs w:val="28"/>
        </w:rPr>
        <w:t>;</w:t>
      </w:r>
    </w:p>
    <w:p w:rsidR="00C759EB" w:rsidRPr="006A0E18" w:rsidRDefault="00247402" w:rsidP="006A0E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 Провести мониторинг полученных результатов. </w:t>
      </w:r>
    </w:p>
    <w:p w:rsidR="00375B27" w:rsidRPr="006A0E18" w:rsidRDefault="00275400" w:rsidP="006A0E18">
      <w:pPr>
        <w:spacing w:after="0" w:line="360" w:lineRule="auto"/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Активные формы работы </w:t>
      </w:r>
      <w:r w:rsidR="00481EB3" w:rsidRPr="006A0E18">
        <w:rPr>
          <w:rFonts w:ascii="Times New Roman" w:hAnsi="Times New Roman" w:cs="Times New Roman"/>
          <w:sz w:val="28"/>
          <w:szCs w:val="28"/>
        </w:rPr>
        <w:t xml:space="preserve">в качестве инструмента </w:t>
      </w:r>
      <w:r w:rsidRPr="006A0E18">
        <w:rPr>
          <w:rFonts w:ascii="Times New Roman" w:hAnsi="Times New Roman" w:cs="Times New Roman"/>
          <w:sz w:val="28"/>
          <w:szCs w:val="28"/>
        </w:rPr>
        <w:t>ф</w:t>
      </w:r>
      <w:r w:rsidR="00481EB3" w:rsidRPr="006A0E18">
        <w:rPr>
          <w:rFonts w:ascii="Times New Roman" w:hAnsi="Times New Roman" w:cs="Times New Roman"/>
          <w:sz w:val="28"/>
          <w:szCs w:val="28"/>
        </w:rPr>
        <w:t>о</w:t>
      </w:r>
      <w:r w:rsidRPr="006A0E18">
        <w:rPr>
          <w:rFonts w:ascii="Times New Roman" w:hAnsi="Times New Roman" w:cs="Times New Roman"/>
          <w:sz w:val="28"/>
          <w:szCs w:val="28"/>
        </w:rPr>
        <w:t xml:space="preserve">рмирования </w:t>
      </w:r>
      <w:r w:rsidR="003E0248">
        <w:rPr>
          <w:rFonts w:ascii="Times New Roman" w:hAnsi="Times New Roman" w:cs="Times New Roman"/>
          <w:sz w:val="28"/>
          <w:szCs w:val="28"/>
        </w:rPr>
        <w:t>ключевых</w:t>
      </w:r>
      <w:r w:rsidRPr="006A0E18">
        <w:rPr>
          <w:rFonts w:ascii="Times New Roman" w:hAnsi="Times New Roman" w:cs="Times New Roman"/>
          <w:sz w:val="28"/>
          <w:szCs w:val="28"/>
        </w:rPr>
        <w:t xml:space="preserve"> компетенций были выбраны мною не случайно.</w:t>
      </w:r>
      <w:r w:rsidR="00247402"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Pr="006A0E18">
        <w:rPr>
          <w:rFonts w:ascii="Times New Roman" w:hAnsi="Times New Roman" w:cs="Times New Roman"/>
          <w:sz w:val="28"/>
          <w:szCs w:val="28"/>
        </w:rPr>
        <w:t>Хочется привести цитату д</w:t>
      </w:r>
      <w:r w:rsidR="00247402" w:rsidRPr="006A0E18">
        <w:rPr>
          <w:rFonts w:ascii="Times New Roman" w:hAnsi="Times New Roman" w:cs="Times New Roman"/>
          <w:sz w:val="28"/>
          <w:szCs w:val="28"/>
        </w:rPr>
        <w:t>октор</w:t>
      </w:r>
      <w:r w:rsidR="00481EB3" w:rsidRPr="006A0E18">
        <w:rPr>
          <w:rFonts w:ascii="Times New Roman" w:hAnsi="Times New Roman" w:cs="Times New Roman"/>
          <w:sz w:val="28"/>
          <w:szCs w:val="28"/>
        </w:rPr>
        <w:t>а</w:t>
      </w:r>
      <w:r w:rsidR="00247402" w:rsidRPr="006A0E18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Pr="006A0E18">
        <w:rPr>
          <w:rFonts w:ascii="Times New Roman" w:hAnsi="Times New Roman" w:cs="Times New Roman"/>
          <w:sz w:val="28"/>
          <w:szCs w:val="28"/>
        </w:rPr>
        <w:t>ских наук Н.В. Яковлевича, который говорил</w:t>
      </w:r>
      <w:r w:rsidR="00247402" w:rsidRPr="006A0E18">
        <w:rPr>
          <w:rFonts w:ascii="Times New Roman" w:hAnsi="Times New Roman" w:cs="Times New Roman"/>
          <w:sz w:val="28"/>
          <w:szCs w:val="28"/>
        </w:rPr>
        <w:t xml:space="preserve">: «Активные формы обучения представляют собой </w:t>
      </w:r>
      <w:r w:rsidR="00247402" w:rsidRPr="006A0E18">
        <w:rPr>
          <w:rFonts w:ascii="Times New Roman" w:hAnsi="Times New Roman" w:cs="Times New Roman"/>
          <w:b/>
          <w:bCs/>
          <w:sz w:val="28"/>
          <w:szCs w:val="28"/>
        </w:rPr>
        <w:t xml:space="preserve">активное взаимодействие </w:t>
      </w:r>
      <w:r w:rsidR="00247402" w:rsidRPr="006A0E18">
        <w:rPr>
          <w:rFonts w:ascii="Times New Roman" w:hAnsi="Times New Roman" w:cs="Times New Roman"/>
          <w:sz w:val="28"/>
          <w:szCs w:val="28"/>
        </w:rPr>
        <w:t>между учениками и учителем, причем обучающиеся принимают непосредственное участие во время преподнесения учебного материала»</w:t>
      </w:r>
      <w:r w:rsidR="00B97CBE" w:rsidRPr="006A0E18">
        <w:rPr>
          <w:rFonts w:ascii="Times New Roman" w:hAnsi="Times New Roman" w:cs="Times New Roman"/>
          <w:sz w:val="28"/>
          <w:szCs w:val="28"/>
        </w:rPr>
        <w:t xml:space="preserve">. </w:t>
      </w:r>
      <w:r w:rsidR="00375B27"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="0050188C" w:rsidRPr="006A0E18">
        <w:rPr>
          <w:rFonts w:ascii="Times New Roman" w:hAnsi="Times New Roman" w:cs="Times New Roman"/>
          <w:sz w:val="28"/>
          <w:szCs w:val="28"/>
        </w:rPr>
        <w:t xml:space="preserve">Действительно, только будучи полностью вовлеченным в какую-либо деятельность ученики смогут полно усваивать материал. </w:t>
      </w:r>
      <w:r w:rsidR="00481EB3" w:rsidRPr="006A0E18">
        <w:rPr>
          <w:rFonts w:ascii="Times New Roman" w:hAnsi="Times New Roman" w:cs="Times New Roman"/>
          <w:sz w:val="28"/>
          <w:szCs w:val="28"/>
        </w:rPr>
        <w:t xml:space="preserve">И это </w:t>
      </w:r>
      <w:r w:rsidR="00481EB3" w:rsidRPr="006A0E18">
        <w:rPr>
          <w:rFonts w:ascii="Times New Roman" w:hAnsi="Times New Roman" w:cs="Times New Roman"/>
          <w:sz w:val="28"/>
          <w:szCs w:val="28"/>
        </w:rPr>
        <w:lastRenderedPageBreak/>
        <w:t>высказывание является сегодня основой моей профессиональной деятельности.</w:t>
      </w:r>
    </w:p>
    <w:p w:rsidR="0050188C" w:rsidRPr="006A0E18" w:rsidRDefault="0050188C" w:rsidP="006A0E18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CC3976" w:rsidRPr="006A0E18" w:rsidRDefault="00CC3976" w:rsidP="006A0E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E18">
        <w:rPr>
          <w:rFonts w:ascii="Times New Roman" w:hAnsi="Times New Roman" w:cs="Times New Roman"/>
          <w:b/>
          <w:sz w:val="28"/>
          <w:szCs w:val="28"/>
        </w:rPr>
        <w:t>Соде</w:t>
      </w:r>
      <w:r w:rsidR="00481EB3" w:rsidRPr="006A0E18">
        <w:rPr>
          <w:rFonts w:ascii="Times New Roman" w:hAnsi="Times New Roman" w:cs="Times New Roman"/>
          <w:b/>
          <w:sz w:val="28"/>
          <w:szCs w:val="28"/>
        </w:rPr>
        <w:t>ржательная</w:t>
      </w:r>
      <w:proofErr w:type="gramEnd"/>
      <w:r w:rsidR="00481EB3" w:rsidRPr="006A0E18">
        <w:rPr>
          <w:rFonts w:ascii="Times New Roman" w:hAnsi="Times New Roman" w:cs="Times New Roman"/>
          <w:b/>
          <w:sz w:val="28"/>
          <w:szCs w:val="28"/>
        </w:rPr>
        <w:t xml:space="preserve"> и методические части</w:t>
      </w:r>
    </w:p>
    <w:p w:rsidR="00481EB3" w:rsidRPr="006A0E18" w:rsidRDefault="0050188C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Знакомясь с трудами, А.А. </w:t>
      </w: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Pr="006A0E1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>, мною были выделены основные формы активной работы, которые можно применить  на уроках  истории,  среди них: проблемное обучение, лабораторные работы, коллективное обсуждение проблем, деловая игра, ролевая игра, решение ке</w:t>
      </w:r>
      <w:r w:rsidR="00481EB3" w:rsidRPr="006A0E18">
        <w:rPr>
          <w:rFonts w:ascii="Times New Roman" w:hAnsi="Times New Roman" w:cs="Times New Roman"/>
          <w:sz w:val="28"/>
          <w:szCs w:val="28"/>
        </w:rPr>
        <w:t xml:space="preserve">йсов и проектная деятельности. </w:t>
      </w:r>
    </w:p>
    <w:p w:rsidR="00BA45D9" w:rsidRPr="006A0E18" w:rsidRDefault="00481EB3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П</w:t>
      </w:r>
      <w:r w:rsidR="00D74E0F" w:rsidRPr="006A0E18">
        <w:rPr>
          <w:rFonts w:ascii="Times New Roman" w:hAnsi="Times New Roman" w:cs="Times New Roman"/>
          <w:sz w:val="28"/>
          <w:szCs w:val="28"/>
        </w:rPr>
        <w:t xml:space="preserve">онимая, что в данный момент нахожусь лишь в начале </w:t>
      </w:r>
      <w:r w:rsidRPr="006A0E18">
        <w:rPr>
          <w:rFonts w:ascii="Times New Roman" w:hAnsi="Times New Roman" w:cs="Times New Roman"/>
          <w:sz w:val="28"/>
          <w:szCs w:val="28"/>
        </w:rPr>
        <w:t>своего профессионального пути</w:t>
      </w:r>
      <w:r w:rsidR="00D74E0F" w:rsidRPr="006A0E18">
        <w:rPr>
          <w:rFonts w:ascii="Times New Roman" w:hAnsi="Times New Roman" w:cs="Times New Roman"/>
          <w:sz w:val="28"/>
          <w:szCs w:val="28"/>
        </w:rPr>
        <w:t xml:space="preserve">, </w:t>
      </w:r>
      <w:r w:rsidRPr="006A0E18">
        <w:rPr>
          <w:rFonts w:ascii="Times New Roman" w:hAnsi="Times New Roman" w:cs="Times New Roman"/>
          <w:sz w:val="28"/>
          <w:szCs w:val="28"/>
        </w:rPr>
        <w:t xml:space="preserve">и «объять необъятное» попросту невозможно, решил сосредоточиться на двух близких мне формах обучения: использование кейсов и организация проектной деятельности на уроках истории. </w:t>
      </w:r>
    </w:p>
    <w:p w:rsidR="00481EB3" w:rsidRPr="006A0E18" w:rsidRDefault="00481EB3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В самом начале работы мною был проведен сравнительный анализ двух этих форм обучения, результаты которых представлены в таблице 1.</w:t>
      </w:r>
    </w:p>
    <w:p w:rsidR="00481EB3" w:rsidRPr="006A0E18" w:rsidRDefault="00481EB3" w:rsidP="006A0E18">
      <w:pPr>
        <w:spacing w:after="0" w:line="360" w:lineRule="auto"/>
        <w:ind w:left="317" w:right="459"/>
        <w:jc w:val="right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Таблица 1</w:t>
      </w:r>
    </w:p>
    <w:p w:rsidR="00481EB3" w:rsidRPr="006A0E18" w:rsidRDefault="00481EB3" w:rsidP="006A0E18">
      <w:pPr>
        <w:spacing w:after="0" w:line="360" w:lineRule="auto"/>
        <w:ind w:left="317" w:right="459"/>
        <w:jc w:val="center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Сравнительный анализ активных форм работы</w:t>
      </w:r>
    </w:p>
    <w:tbl>
      <w:tblPr>
        <w:tblW w:w="9266" w:type="dxa"/>
        <w:jc w:val="center"/>
        <w:tblInd w:w="-15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3459"/>
        <w:gridCol w:w="3299"/>
      </w:tblGrid>
      <w:tr w:rsidR="00481EB3" w:rsidRPr="006A0E18" w:rsidTr="00481EB3">
        <w:trPr>
          <w:trHeight w:val="55"/>
          <w:jc w:val="center"/>
        </w:trPr>
        <w:tc>
          <w:tcPr>
            <w:tcW w:w="2508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3459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Мини-проект</w:t>
            </w:r>
          </w:p>
        </w:tc>
        <w:tc>
          <w:tcPr>
            <w:tcW w:w="3299" w:type="dxa"/>
            <w:tcBorders>
              <w:top w:val="single" w:sz="8" w:space="0" w:color="0F6FC6"/>
              <w:left w:val="single" w:sz="8" w:space="0" w:color="0F6FC6"/>
              <w:bottom w:val="single" w:sz="1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Кейс</w:t>
            </w:r>
          </w:p>
        </w:tc>
      </w:tr>
      <w:tr w:rsidR="00481EB3" w:rsidRPr="006A0E18" w:rsidTr="00481EB3">
        <w:trPr>
          <w:trHeight w:val="114"/>
          <w:jc w:val="center"/>
        </w:trPr>
        <w:tc>
          <w:tcPr>
            <w:tcW w:w="2508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Цель применения</w:t>
            </w:r>
          </w:p>
        </w:tc>
        <w:tc>
          <w:tcPr>
            <w:tcW w:w="3459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материала, обобщение и систематизация знаний</w:t>
            </w:r>
          </w:p>
        </w:tc>
        <w:tc>
          <w:tcPr>
            <w:tcW w:w="3299" w:type="dxa"/>
            <w:tcBorders>
              <w:top w:val="single" w:sz="1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Открытие знаний, закрепление материала по заданному алгоритму</w:t>
            </w:r>
          </w:p>
        </w:tc>
      </w:tr>
      <w:tr w:rsidR="00481EB3" w:rsidRPr="006A0E18" w:rsidTr="00481EB3">
        <w:trPr>
          <w:trHeight w:val="75"/>
          <w:jc w:val="center"/>
        </w:trPr>
        <w:tc>
          <w:tcPr>
            <w:tcW w:w="2508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Алгоритм решения</w:t>
            </w:r>
          </w:p>
        </w:tc>
        <w:tc>
          <w:tcPr>
            <w:tcW w:w="3459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Существует «размытость», нет четких инструкций</w:t>
            </w:r>
          </w:p>
        </w:tc>
        <w:tc>
          <w:tcPr>
            <w:tcW w:w="3299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Работа по заданному алгоритму</w:t>
            </w:r>
          </w:p>
        </w:tc>
      </w:tr>
      <w:tr w:rsidR="00481EB3" w:rsidRPr="006A0E18" w:rsidTr="00481EB3">
        <w:trPr>
          <w:trHeight w:val="55"/>
          <w:jc w:val="center"/>
        </w:trPr>
        <w:tc>
          <w:tcPr>
            <w:tcW w:w="2508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Характер ответа</w:t>
            </w:r>
          </w:p>
        </w:tc>
        <w:tc>
          <w:tcPr>
            <w:tcW w:w="3459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  <w:tc>
          <w:tcPr>
            <w:tcW w:w="3299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EB3" w:rsidRPr="006A0E18" w:rsidRDefault="00481EB3" w:rsidP="006A0E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Закрытый, открытый</w:t>
            </w:r>
          </w:p>
        </w:tc>
      </w:tr>
    </w:tbl>
    <w:p w:rsidR="00481EB3" w:rsidRPr="006A0E18" w:rsidRDefault="00481EB3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E0F" w:rsidRPr="006A0E18" w:rsidRDefault="00481EB3" w:rsidP="006A0E1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В результате проведенного сравнительного анализа, был сформулирован вывод о том, что выполнение кейсов и проектов на уроках способствуют </w:t>
      </w:r>
      <w:r w:rsidRPr="006A0E1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ключевых компетенций обучающихся (классификация по </w:t>
      </w: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А.В.Хуторскому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>):</w:t>
      </w:r>
    </w:p>
    <w:p w:rsidR="00BA45D9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Учебно-познавательная;</w:t>
      </w:r>
    </w:p>
    <w:p w:rsidR="00481EB3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Информационная;</w:t>
      </w:r>
    </w:p>
    <w:p w:rsidR="00481EB3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481EB3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Социально-трудовая;</w:t>
      </w:r>
    </w:p>
    <w:p w:rsidR="00481EB3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Ценностно-смысловая;</w:t>
      </w:r>
    </w:p>
    <w:p w:rsidR="00481EB3" w:rsidRPr="006A0E18" w:rsidRDefault="00481EB3" w:rsidP="006A0E18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Общепредметная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>.</w:t>
      </w:r>
    </w:p>
    <w:p w:rsidR="00C57E2C" w:rsidRPr="006A0E18" w:rsidRDefault="00E14CFD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В настоящее время я применяю кейсы и проекты в своей педагогической деятельности. В таблице 2 приведены примеры мини-проектов, выполненных учащимися 5 классов на уроках истории в этом учебном году; в таблице 3 – примеры предложенных </w:t>
      </w:r>
      <w:proofErr w:type="gramStart"/>
      <w:r w:rsidRPr="006A0E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0E18">
        <w:rPr>
          <w:rFonts w:ascii="Times New Roman" w:hAnsi="Times New Roman" w:cs="Times New Roman"/>
          <w:sz w:val="28"/>
          <w:szCs w:val="28"/>
        </w:rPr>
        <w:t xml:space="preserve"> 5 классов исторических кейсов.</w:t>
      </w:r>
    </w:p>
    <w:p w:rsidR="00C57E2C" w:rsidRPr="006A0E18" w:rsidRDefault="00E14CFD" w:rsidP="006A0E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Таблица 2</w:t>
      </w:r>
    </w:p>
    <w:p w:rsidR="00E14CFD" w:rsidRPr="006A0E18" w:rsidRDefault="00E14CFD" w:rsidP="006A0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Тематика мини-проектов на уроках истории в 5 классе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402"/>
        <w:gridCol w:w="2410"/>
      </w:tblGrid>
      <w:tr w:rsidR="00E14CFD" w:rsidRPr="006A0E18" w:rsidTr="00E14CFD">
        <w:trPr>
          <w:trHeight w:val="583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Тема мини-проекта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</w:p>
        </w:tc>
      </w:tr>
      <w:tr w:rsidR="00E14CFD" w:rsidRPr="006A0E18" w:rsidTr="009B383A">
        <w:trPr>
          <w:trHeight w:val="791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Возникновение искусства и религиозных верований 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«Религии древнего мира»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B383A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Информационный плакат</w:t>
            </w:r>
          </w:p>
        </w:tc>
      </w:tr>
      <w:tr w:rsidR="00E14CFD" w:rsidRPr="006A0E18" w:rsidTr="009B383A">
        <w:trPr>
          <w:trHeight w:val="1089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4CFD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Древнего Египта.</w:t>
            </w:r>
          </w:p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Письменность и знания древних египтян</w:t>
            </w:r>
            <w:r w:rsidR="009B383A"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«7 чудес света»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Творческая презентация</w:t>
            </w:r>
          </w:p>
        </w:tc>
      </w:tr>
      <w:tr w:rsidR="00E14CFD" w:rsidRPr="006A0E18" w:rsidTr="009B383A">
        <w:trPr>
          <w:trHeight w:val="1448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Как жили земледельцы и ремесленники в Египте. Жизнь египетского вельможи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«Жизненные условия различных слоев населения Древнего Египта»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Модель социальной пирамиды</w:t>
            </w:r>
          </w:p>
        </w:tc>
      </w:tr>
      <w:tr w:rsidR="00E14CFD" w:rsidRPr="006A0E18" w:rsidTr="009B383A">
        <w:trPr>
          <w:trHeight w:val="863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«Модель идеального корабля»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Модель корабля  (описание)</w:t>
            </w:r>
          </w:p>
        </w:tc>
      </w:tr>
      <w:tr w:rsidR="00E14CFD" w:rsidRPr="006A0E18" w:rsidTr="009B383A">
        <w:trPr>
          <w:trHeight w:val="1444"/>
        </w:trPr>
        <w:tc>
          <w:tcPr>
            <w:tcW w:w="365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Ассирийская держава</w:t>
            </w:r>
          </w:p>
        </w:tc>
        <w:tc>
          <w:tcPr>
            <w:tcW w:w="3402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«Наступление железного века»</w:t>
            </w:r>
          </w:p>
        </w:tc>
        <w:tc>
          <w:tcPr>
            <w:tcW w:w="2410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7AC8" w:rsidRPr="006A0E18" w:rsidRDefault="00E14CFD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в виде таблицы</w:t>
            </w:r>
          </w:p>
        </w:tc>
      </w:tr>
    </w:tbl>
    <w:p w:rsidR="00FA5CA7" w:rsidRPr="006A0E18" w:rsidRDefault="00E14CFD" w:rsidP="006A0E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E14CFD" w:rsidRPr="006A0E18" w:rsidRDefault="00E14CFD" w:rsidP="006A0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Тематика исторических кейсов на уроках истории в 5 классе</w:t>
      </w:r>
    </w:p>
    <w:tbl>
      <w:tblPr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126"/>
        <w:gridCol w:w="5103"/>
      </w:tblGrid>
      <w:tr w:rsidR="009B383A" w:rsidRPr="006A0E18" w:rsidTr="009B383A">
        <w:trPr>
          <w:trHeight w:val="559"/>
        </w:trPr>
        <w:tc>
          <w:tcPr>
            <w:tcW w:w="2225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2126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 урока </w:t>
            </w:r>
          </w:p>
        </w:tc>
        <w:tc>
          <w:tcPr>
            <w:tcW w:w="5103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кейса</w:t>
            </w:r>
          </w:p>
        </w:tc>
      </w:tr>
      <w:tr w:rsidR="009B383A" w:rsidRPr="006A0E18" w:rsidTr="009B383A">
        <w:trPr>
          <w:trHeight w:val="1524"/>
        </w:trPr>
        <w:tc>
          <w:tcPr>
            <w:tcW w:w="2225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Древнейшие люди</w:t>
            </w:r>
          </w:p>
        </w:tc>
        <w:tc>
          <w:tcPr>
            <w:tcW w:w="2126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03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С помощью археологических источников и карты определить место обитания и образ жизни древнейших людей.</w:t>
            </w:r>
          </w:p>
        </w:tc>
      </w:tr>
      <w:tr w:rsidR="009B383A" w:rsidRPr="006A0E18" w:rsidTr="009B383A">
        <w:trPr>
          <w:trHeight w:val="1944"/>
        </w:trPr>
        <w:tc>
          <w:tcPr>
            <w:tcW w:w="2225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систематизация знаний по теме «Древний Египет»</w:t>
            </w:r>
          </w:p>
        </w:tc>
        <w:tc>
          <w:tcPr>
            <w:tcW w:w="2126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 и систематизации полученных знаний </w:t>
            </w:r>
          </w:p>
        </w:tc>
        <w:tc>
          <w:tcPr>
            <w:tcW w:w="5103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С помощью сопоставительного анализа исторических источников, найти взаимосвязь, разных аспектов существования Древнеегипетской цивилизации.</w:t>
            </w:r>
          </w:p>
        </w:tc>
      </w:tr>
      <w:tr w:rsidR="009B383A" w:rsidRPr="006A0E18" w:rsidTr="009B383A">
        <w:trPr>
          <w:trHeight w:val="1264"/>
        </w:trPr>
        <w:tc>
          <w:tcPr>
            <w:tcW w:w="2225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2126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5103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CCD5EA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работ с энциклопедическими источниками, обозначить причины появления первых в истории законов.  </w:t>
            </w:r>
          </w:p>
        </w:tc>
      </w:tr>
      <w:tr w:rsidR="009B383A" w:rsidRPr="006A0E18" w:rsidTr="009B383A">
        <w:trPr>
          <w:trHeight w:val="1483"/>
        </w:trPr>
        <w:tc>
          <w:tcPr>
            <w:tcW w:w="2225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и люди Древней Индии.</w:t>
            </w:r>
          </w:p>
        </w:tc>
        <w:tc>
          <w:tcPr>
            <w:tcW w:w="2126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03" w:type="dxa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E7EBF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17AC8" w:rsidRPr="006A0E18" w:rsidRDefault="009B383A" w:rsidP="006A0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различных информационных источников составить комплексоне представление о природе древней Индии. </w:t>
            </w:r>
          </w:p>
        </w:tc>
      </w:tr>
    </w:tbl>
    <w:p w:rsidR="009B383A" w:rsidRPr="006A0E18" w:rsidRDefault="009B383A" w:rsidP="006A0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C1E" w:rsidRPr="006A0E18" w:rsidRDefault="00D41C1E" w:rsidP="006A0E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18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9B383A" w:rsidRPr="006A0E18" w:rsidRDefault="009B383A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Для промежуточной оценки </w:t>
      </w:r>
      <w:proofErr w:type="spellStart"/>
      <w:r w:rsidRPr="006A0E1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="003E0248">
        <w:rPr>
          <w:rFonts w:ascii="Times New Roman" w:hAnsi="Times New Roman" w:cs="Times New Roman"/>
          <w:sz w:val="28"/>
          <w:szCs w:val="28"/>
        </w:rPr>
        <w:t>ключевых</w:t>
      </w:r>
      <w:r w:rsidRPr="006A0E18">
        <w:rPr>
          <w:rFonts w:ascii="Times New Roman" w:hAnsi="Times New Roman" w:cs="Times New Roman"/>
          <w:sz w:val="28"/>
          <w:szCs w:val="28"/>
        </w:rPr>
        <w:t xml:space="preserve"> компетенций у обучающихся я использую в своей деятельности результаты работы и защиты мини-проектов согласно локальному акту Лицея№35 – «Положение о проектной деятельности в основной школе».</w:t>
      </w:r>
    </w:p>
    <w:p w:rsidR="001E3B50" w:rsidRPr="006A0E18" w:rsidRDefault="009B383A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Согласно положению, оценка мини-проектов проводится по следующим критериям:</w:t>
      </w:r>
    </w:p>
    <w:p w:rsidR="001D6FD4" w:rsidRPr="006A0E18" w:rsidRDefault="001E3B50" w:rsidP="006A0E1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="00477305" w:rsidRPr="006A0E18">
        <w:rPr>
          <w:rFonts w:ascii="Times New Roman" w:hAnsi="Times New Roman" w:cs="Times New Roman"/>
          <w:sz w:val="28"/>
          <w:szCs w:val="28"/>
        </w:rPr>
        <w:t>самостоятельное приобретение знаний и решение проблем;</w:t>
      </w:r>
    </w:p>
    <w:p w:rsidR="001D6FD4" w:rsidRPr="006A0E18" w:rsidRDefault="00477305" w:rsidP="006A0E1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знание предмета;</w:t>
      </w:r>
    </w:p>
    <w:p w:rsidR="001D6FD4" w:rsidRPr="006A0E18" w:rsidRDefault="00477305" w:rsidP="006A0E1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lastRenderedPageBreak/>
        <w:t>регулятивные действия;</w:t>
      </w:r>
    </w:p>
    <w:p w:rsidR="001D6FD4" w:rsidRPr="006A0E18" w:rsidRDefault="00477305" w:rsidP="006A0E1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1E3B50" w:rsidRPr="006A0E18" w:rsidRDefault="009B383A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По итогам защиты мини-проектов, можно судить об уровне</w:t>
      </w:r>
      <w:r w:rsidR="001E3B50" w:rsidRPr="006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50" w:rsidRPr="006A0E1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E3B50" w:rsidRPr="006A0E18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деятельности:</w:t>
      </w:r>
    </w:p>
    <w:p w:rsidR="001D6FD4" w:rsidRPr="006A0E18" w:rsidRDefault="00477305" w:rsidP="006A0E1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базовый;</w:t>
      </w:r>
    </w:p>
    <w:p w:rsidR="001D6FD4" w:rsidRPr="006A0E18" w:rsidRDefault="00477305" w:rsidP="006A0E1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повышенный.</w:t>
      </w:r>
    </w:p>
    <w:p w:rsidR="00773125" w:rsidRPr="006A0E18" w:rsidRDefault="001E3B50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="00773125" w:rsidRPr="006A0E18">
        <w:rPr>
          <w:rFonts w:ascii="Times New Roman" w:hAnsi="Times New Roman" w:cs="Times New Roman"/>
          <w:sz w:val="28"/>
          <w:szCs w:val="28"/>
        </w:rPr>
        <w:t>Во время выполнения</w:t>
      </w:r>
      <w:r w:rsidR="00D41C1E" w:rsidRPr="006A0E18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773125" w:rsidRPr="006A0E18">
        <w:rPr>
          <w:rFonts w:ascii="Times New Roman" w:hAnsi="Times New Roman" w:cs="Times New Roman"/>
          <w:sz w:val="28"/>
          <w:szCs w:val="28"/>
        </w:rPr>
        <w:t xml:space="preserve"> работы на ка</w:t>
      </w:r>
      <w:r w:rsidRPr="006A0E18">
        <w:rPr>
          <w:rFonts w:ascii="Times New Roman" w:hAnsi="Times New Roman" w:cs="Times New Roman"/>
          <w:sz w:val="28"/>
          <w:szCs w:val="28"/>
        </w:rPr>
        <w:t>ждую группу учащихся заполнял</w:t>
      </w:r>
      <w:r w:rsidR="00773125" w:rsidRPr="006A0E18">
        <w:rPr>
          <w:rFonts w:ascii="Times New Roman" w:hAnsi="Times New Roman" w:cs="Times New Roman"/>
          <w:sz w:val="28"/>
          <w:szCs w:val="28"/>
        </w:rPr>
        <w:t xml:space="preserve">ся оценочный лист,  в котором каждый учащийся </w:t>
      </w:r>
      <w:r w:rsidRPr="006A0E18">
        <w:rPr>
          <w:rFonts w:ascii="Times New Roman" w:hAnsi="Times New Roman" w:cs="Times New Roman"/>
          <w:sz w:val="28"/>
          <w:szCs w:val="28"/>
        </w:rPr>
        <w:t>оцени</w:t>
      </w:r>
      <w:r w:rsidR="009B383A" w:rsidRPr="006A0E18">
        <w:rPr>
          <w:rFonts w:ascii="Times New Roman" w:hAnsi="Times New Roman" w:cs="Times New Roman"/>
          <w:sz w:val="28"/>
          <w:szCs w:val="28"/>
        </w:rPr>
        <w:t>вается по приведенным выше критерия</w:t>
      </w:r>
      <w:proofErr w:type="gramStart"/>
      <w:r w:rsidR="009B383A" w:rsidRPr="006A0E1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B383A" w:rsidRPr="006A0E18">
        <w:rPr>
          <w:rFonts w:ascii="Times New Roman" w:hAnsi="Times New Roman" w:cs="Times New Roman"/>
          <w:sz w:val="28"/>
          <w:szCs w:val="28"/>
        </w:rPr>
        <w:t>рисунок 1).</w:t>
      </w:r>
    </w:p>
    <w:p w:rsidR="00773125" w:rsidRPr="006A0E18" w:rsidRDefault="00773125" w:rsidP="006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AEFC8" wp14:editId="3B6D87D3">
            <wp:extent cx="3562597" cy="5421501"/>
            <wp:effectExtent l="171450" t="171450" r="381000" b="3702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19" cy="5425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383A" w:rsidRPr="006A0E18" w:rsidRDefault="009B383A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Рисунок 1. Оценочный лист защиты мини-проекта.</w:t>
      </w:r>
    </w:p>
    <w:p w:rsidR="001E3B50" w:rsidRPr="006A0E18" w:rsidRDefault="006A0E18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lastRenderedPageBreak/>
        <w:t>Подобный подход позволил мне выяснить</w:t>
      </w:r>
      <w:r w:rsidR="001E3B50" w:rsidRPr="006A0E18">
        <w:rPr>
          <w:rFonts w:ascii="Times New Roman" w:hAnsi="Times New Roman" w:cs="Times New Roman"/>
          <w:sz w:val="28"/>
          <w:szCs w:val="28"/>
        </w:rPr>
        <w:t>:</w:t>
      </w:r>
    </w:p>
    <w:p w:rsidR="00D41C1E" w:rsidRPr="006A0E18" w:rsidRDefault="001E3B50" w:rsidP="006A0E1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К</w:t>
      </w:r>
      <w:r w:rsidR="00D41C1E" w:rsidRPr="006A0E18">
        <w:rPr>
          <w:rFonts w:ascii="Times New Roman" w:hAnsi="Times New Roman" w:cs="Times New Roman"/>
          <w:sz w:val="28"/>
          <w:szCs w:val="28"/>
        </w:rPr>
        <w:t>акие из на</w:t>
      </w:r>
      <w:r w:rsidR="006A0E18" w:rsidRPr="006A0E18">
        <w:rPr>
          <w:rFonts w:ascii="Times New Roman" w:hAnsi="Times New Roman" w:cs="Times New Roman"/>
          <w:sz w:val="28"/>
          <w:szCs w:val="28"/>
        </w:rPr>
        <w:t>выков изначально у обучающихся уже сформированы, а какие «западают»</w:t>
      </w:r>
      <w:r w:rsidR="00D41C1E" w:rsidRPr="006A0E18">
        <w:rPr>
          <w:rFonts w:ascii="Times New Roman" w:hAnsi="Times New Roman" w:cs="Times New Roman"/>
          <w:sz w:val="28"/>
          <w:szCs w:val="28"/>
        </w:rPr>
        <w:t>:</w:t>
      </w:r>
    </w:p>
    <w:p w:rsidR="00FE628F" w:rsidRPr="006A0E18" w:rsidRDefault="00D41C1E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 </w:t>
      </w:r>
      <w:r w:rsidRPr="006A0E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89FC1" wp14:editId="7F4572FF">
            <wp:extent cx="5940425" cy="2859546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628F" w:rsidRDefault="00FE628F" w:rsidP="006A0E1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 xml:space="preserve">Как положение </w:t>
      </w:r>
      <w:r w:rsidR="001E3B50" w:rsidRPr="006A0E18">
        <w:rPr>
          <w:rFonts w:ascii="Times New Roman" w:hAnsi="Times New Roman" w:cs="Times New Roman"/>
          <w:sz w:val="28"/>
          <w:szCs w:val="28"/>
        </w:rPr>
        <w:t xml:space="preserve">изменилось к </w:t>
      </w:r>
      <w:r w:rsidRPr="006A0E18">
        <w:rPr>
          <w:rFonts w:ascii="Times New Roman" w:hAnsi="Times New Roman" w:cs="Times New Roman"/>
          <w:sz w:val="28"/>
          <w:szCs w:val="28"/>
        </w:rPr>
        <w:t>пятому проекту:</w:t>
      </w:r>
    </w:p>
    <w:p w:rsidR="006A0E18" w:rsidRPr="006A0E18" w:rsidRDefault="006A0E18" w:rsidP="006A0E18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8F" w:rsidRPr="006A0E18" w:rsidRDefault="00FE628F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01714" wp14:editId="17725AB2">
            <wp:extent cx="5940425" cy="2851576"/>
            <wp:effectExtent l="0" t="0" r="22225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628F" w:rsidRPr="006A0E18" w:rsidRDefault="001E3B50" w:rsidP="006A0E1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П</w:t>
      </w:r>
      <w:r w:rsidR="00FE628F" w:rsidRPr="006A0E18">
        <w:rPr>
          <w:rFonts w:ascii="Times New Roman" w:hAnsi="Times New Roman" w:cs="Times New Roman"/>
          <w:sz w:val="28"/>
          <w:szCs w:val="28"/>
        </w:rPr>
        <w:t xml:space="preserve">роследить общую динамику развития </w:t>
      </w:r>
      <w:r w:rsidR="006A0E18" w:rsidRPr="006A0E18">
        <w:rPr>
          <w:rFonts w:ascii="Times New Roman" w:hAnsi="Times New Roman" w:cs="Times New Roman"/>
          <w:sz w:val="28"/>
          <w:szCs w:val="28"/>
        </w:rPr>
        <w:t xml:space="preserve">навыков проектной работы </w:t>
      </w:r>
      <w:r w:rsidR="00FE628F" w:rsidRPr="006A0E18">
        <w:rPr>
          <w:rFonts w:ascii="Times New Roman" w:hAnsi="Times New Roman" w:cs="Times New Roman"/>
          <w:sz w:val="28"/>
          <w:szCs w:val="28"/>
        </w:rPr>
        <w:t>от первого проекта к последнему:</w:t>
      </w:r>
    </w:p>
    <w:p w:rsidR="001164E4" w:rsidRPr="006A0E18" w:rsidRDefault="00FE628F" w:rsidP="006A0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0E1EE1" wp14:editId="4DC36AC4">
            <wp:extent cx="5595582" cy="2866030"/>
            <wp:effectExtent l="0" t="0" r="24765" b="107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0E18" w:rsidRDefault="006A0E18" w:rsidP="006A0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BC0" w:rsidRPr="006A0E18" w:rsidRDefault="006A0E18" w:rsidP="006A0E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диаграмм видно</w:t>
      </w:r>
      <w:r w:rsidR="00F33BC0"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постепенно улучшаются показатели практически по всем критериям, а это в свою очередь позволяет нам сказать, что  во время выполнения учениками </w:t>
      </w:r>
      <w:r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F33BC0"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истории, происходит формирование </w:t>
      </w:r>
      <w:r w:rsidR="003E0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</w:t>
      </w:r>
      <w:bookmarkStart w:id="0" w:name="_GoBack"/>
      <w:bookmarkEnd w:id="0"/>
      <w:r w:rsidR="00F33BC0"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 </w:t>
      </w:r>
    </w:p>
    <w:p w:rsidR="007962AE" w:rsidRPr="006A0E18" w:rsidRDefault="007962AE" w:rsidP="006A0E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хочу сказать, что мой педагогический опыт еще не велик, но я вижу результативность своего труда, вижу старания учеников,  и считаю, что работая в этом направлении, мы сумеем подготовить наших учеников к любым задачам, которые ожидают их во взрослой жизни.  </w:t>
      </w:r>
    </w:p>
    <w:p w:rsidR="006A0E18" w:rsidRDefault="001E3B50" w:rsidP="006A0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BC0" w:rsidRPr="006A0E18" w:rsidRDefault="00F33BC0" w:rsidP="006A0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1D6FD4" w:rsidRPr="006A0E18" w:rsidRDefault="00F33BC0" w:rsidP="006A0E1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 А.А., Приемы педагогической техники/Изд-во: Вита-пресс, 2012, 113с.;</w:t>
      </w:r>
    </w:p>
    <w:p w:rsidR="001D6FD4" w:rsidRPr="006A0E18" w:rsidRDefault="00F33BC0" w:rsidP="006A0E1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E1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 Г.К., Энциклопедия современных образовательных технологий/ Изд-во: Народное образование, 2005, 556с.;</w:t>
      </w:r>
    </w:p>
    <w:p w:rsidR="001D6FD4" w:rsidRPr="006A0E18" w:rsidRDefault="00F33BC0" w:rsidP="006A0E1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</w:rPr>
        <w:t>Никитин В.Я., материалы диссертации «Педагогические условия развития учебной мотивации старшеклассников», 2014;</w:t>
      </w:r>
    </w:p>
    <w:p w:rsidR="001D6FD4" w:rsidRPr="006A0E18" w:rsidRDefault="00F33BC0" w:rsidP="006A0E18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E18">
        <w:rPr>
          <w:rFonts w:ascii="Times New Roman" w:hAnsi="Times New Roman" w:cs="Times New Roman"/>
          <w:sz w:val="28"/>
          <w:szCs w:val="28"/>
        </w:rPr>
        <w:t>Куксо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 xml:space="preserve"> Е.Н., Миссия выполнима: как повысить качество образования в школе, Изд-во: Издательские решения, 2015, 151с.; </w:t>
      </w:r>
    </w:p>
    <w:p w:rsidR="00F33BC0" w:rsidRPr="006A0E18" w:rsidRDefault="00F33BC0" w:rsidP="00F33BC0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0E18">
        <w:rPr>
          <w:rFonts w:ascii="Times New Roman" w:hAnsi="Times New Roman" w:cs="Times New Roman"/>
          <w:sz w:val="28"/>
          <w:szCs w:val="28"/>
        </w:rPr>
        <w:t>://</w:t>
      </w:r>
      <w:r w:rsidRPr="006A0E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0E18">
        <w:rPr>
          <w:rFonts w:ascii="Times New Roman" w:hAnsi="Times New Roman" w:cs="Times New Roman"/>
          <w:sz w:val="28"/>
          <w:szCs w:val="28"/>
          <w:lang w:val="en-US"/>
        </w:rPr>
        <w:t>myshared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0E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0E18">
        <w:rPr>
          <w:rFonts w:ascii="Times New Roman" w:hAnsi="Times New Roman" w:cs="Times New Roman"/>
          <w:sz w:val="28"/>
          <w:szCs w:val="28"/>
        </w:rPr>
        <w:t>/</w:t>
      </w:r>
      <w:r w:rsidRPr="006A0E18"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6A0E18">
        <w:rPr>
          <w:rFonts w:ascii="Times New Roman" w:hAnsi="Times New Roman" w:cs="Times New Roman"/>
          <w:sz w:val="28"/>
          <w:szCs w:val="28"/>
        </w:rPr>
        <w:t>/180692/.</w:t>
      </w:r>
    </w:p>
    <w:sectPr w:rsidR="00F33BC0" w:rsidRPr="006A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94" w:rsidRDefault="00605494" w:rsidP="00570423">
      <w:pPr>
        <w:spacing w:after="0" w:line="240" w:lineRule="auto"/>
      </w:pPr>
      <w:r>
        <w:separator/>
      </w:r>
    </w:p>
  </w:endnote>
  <w:endnote w:type="continuationSeparator" w:id="0">
    <w:p w:rsidR="00605494" w:rsidRDefault="00605494" w:rsidP="0057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94" w:rsidRDefault="00605494" w:rsidP="00570423">
      <w:pPr>
        <w:spacing w:after="0" w:line="240" w:lineRule="auto"/>
      </w:pPr>
      <w:r>
        <w:separator/>
      </w:r>
    </w:p>
  </w:footnote>
  <w:footnote w:type="continuationSeparator" w:id="0">
    <w:p w:rsidR="00605494" w:rsidRDefault="00605494" w:rsidP="0057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314"/>
    <w:multiLevelType w:val="hybridMultilevel"/>
    <w:tmpl w:val="10B6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251B"/>
    <w:multiLevelType w:val="hybridMultilevel"/>
    <w:tmpl w:val="344217BA"/>
    <w:lvl w:ilvl="0" w:tplc="E954C3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B34A4C"/>
    <w:multiLevelType w:val="hybridMultilevel"/>
    <w:tmpl w:val="FEAA75B8"/>
    <w:lvl w:ilvl="0" w:tplc="77B03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8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0F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0A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428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8E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60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AC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6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112C42"/>
    <w:multiLevelType w:val="hybridMultilevel"/>
    <w:tmpl w:val="7612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821AF"/>
    <w:multiLevelType w:val="hybridMultilevel"/>
    <w:tmpl w:val="A1D8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5E6A"/>
    <w:multiLevelType w:val="hybridMultilevel"/>
    <w:tmpl w:val="C032CB28"/>
    <w:lvl w:ilvl="0" w:tplc="319A3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438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6D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A9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A4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8C3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A69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43B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8B4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954779"/>
    <w:multiLevelType w:val="hybridMultilevel"/>
    <w:tmpl w:val="78806AB2"/>
    <w:lvl w:ilvl="0" w:tplc="8EF25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43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0B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0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E4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8D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00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E3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AA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87758"/>
    <w:multiLevelType w:val="hybridMultilevel"/>
    <w:tmpl w:val="77E28338"/>
    <w:lvl w:ilvl="0" w:tplc="657CB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84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2A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F46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4A6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088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AB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7440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AC0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AEA5DA4"/>
    <w:multiLevelType w:val="hybridMultilevel"/>
    <w:tmpl w:val="54F49F38"/>
    <w:lvl w:ilvl="0" w:tplc="91B8C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50B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805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EF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0AFB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246B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8F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27B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8D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23"/>
    <w:rsid w:val="000B001E"/>
    <w:rsid w:val="001164E4"/>
    <w:rsid w:val="001719CD"/>
    <w:rsid w:val="001D6FD4"/>
    <w:rsid w:val="001E3B50"/>
    <w:rsid w:val="00247402"/>
    <w:rsid w:val="00257C7D"/>
    <w:rsid w:val="00275400"/>
    <w:rsid w:val="00294921"/>
    <w:rsid w:val="00375B27"/>
    <w:rsid w:val="00392520"/>
    <w:rsid w:val="003E0248"/>
    <w:rsid w:val="00477305"/>
    <w:rsid w:val="00481EB3"/>
    <w:rsid w:val="004F25AA"/>
    <w:rsid w:val="0050188C"/>
    <w:rsid w:val="00570423"/>
    <w:rsid w:val="005841B3"/>
    <w:rsid w:val="00594B0E"/>
    <w:rsid w:val="005E2424"/>
    <w:rsid w:val="00605494"/>
    <w:rsid w:val="00612A9D"/>
    <w:rsid w:val="00617AC8"/>
    <w:rsid w:val="00652856"/>
    <w:rsid w:val="006A0E18"/>
    <w:rsid w:val="0077106C"/>
    <w:rsid w:val="00773125"/>
    <w:rsid w:val="007962AE"/>
    <w:rsid w:val="009B34F5"/>
    <w:rsid w:val="009B383A"/>
    <w:rsid w:val="00AD1E90"/>
    <w:rsid w:val="00AD30CC"/>
    <w:rsid w:val="00B97CBE"/>
    <w:rsid w:val="00BA45D9"/>
    <w:rsid w:val="00C57E2C"/>
    <w:rsid w:val="00C759EB"/>
    <w:rsid w:val="00CC3976"/>
    <w:rsid w:val="00D41C1E"/>
    <w:rsid w:val="00D74E0F"/>
    <w:rsid w:val="00DC2032"/>
    <w:rsid w:val="00E14CFD"/>
    <w:rsid w:val="00EF1194"/>
    <w:rsid w:val="00EF17F9"/>
    <w:rsid w:val="00F33BC0"/>
    <w:rsid w:val="00FA5CA7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423"/>
  </w:style>
  <w:style w:type="paragraph" w:styleId="a5">
    <w:name w:val="footer"/>
    <w:basedOn w:val="a"/>
    <w:link w:val="a6"/>
    <w:uiPriority w:val="99"/>
    <w:unhideWhenUsed/>
    <w:rsid w:val="0057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423"/>
  </w:style>
  <w:style w:type="paragraph" w:styleId="a7">
    <w:name w:val="Balloon Text"/>
    <w:basedOn w:val="a"/>
    <w:link w:val="a8"/>
    <w:uiPriority w:val="99"/>
    <w:semiHidden/>
    <w:unhideWhenUsed/>
    <w:rsid w:val="005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4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40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423"/>
  </w:style>
  <w:style w:type="paragraph" w:styleId="a5">
    <w:name w:val="footer"/>
    <w:basedOn w:val="a"/>
    <w:link w:val="a6"/>
    <w:uiPriority w:val="99"/>
    <w:unhideWhenUsed/>
    <w:rsid w:val="0057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423"/>
  </w:style>
  <w:style w:type="paragraph" w:styleId="a7">
    <w:name w:val="Balloon Text"/>
    <w:basedOn w:val="a"/>
    <w:link w:val="a8"/>
    <w:uiPriority w:val="99"/>
    <w:semiHidden/>
    <w:unhideWhenUsed/>
    <w:rsid w:val="005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4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40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3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0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59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1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0">
                  <c:v>Самостоятельное приобретение знаний</c:v>
                </c:pt>
                <c:pt idx="1">
                  <c:v>Знание предмета </c:v>
                </c:pt>
                <c:pt idx="2">
                  <c:v>Регулятивные действия </c:v>
                </c:pt>
                <c:pt idx="3">
                  <c:v>Коммуникация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</c:v>
                </c:pt>
                <c:pt idx="1">
                  <c:v>0.31</c:v>
                </c:pt>
                <c:pt idx="2">
                  <c:v>0.52</c:v>
                </c:pt>
                <c:pt idx="3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0">
                  <c:v>Самостоятельное приобретение знаний</c:v>
                </c:pt>
                <c:pt idx="1">
                  <c:v>Знание предмета </c:v>
                </c:pt>
                <c:pt idx="2">
                  <c:v>Регулятивные действия </c:v>
                </c:pt>
                <c:pt idx="3">
                  <c:v>Коммуникация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</c:v>
                </c:pt>
                <c:pt idx="1">
                  <c:v>0.69</c:v>
                </c:pt>
                <c:pt idx="2">
                  <c:v>0.48</c:v>
                </c:pt>
                <c:pt idx="3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01792"/>
        <c:axId val="128403328"/>
      </c:barChart>
      <c:catAx>
        <c:axId val="12840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03328"/>
        <c:crosses val="autoZero"/>
        <c:auto val="1"/>
        <c:lblAlgn val="ctr"/>
        <c:lblOffset val="100"/>
        <c:noMultiLvlLbl val="0"/>
      </c:catAx>
      <c:valAx>
        <c:axId val="128403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40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Самостоятельно приобретенные знания</c:v>
                </c:pt>
                <c:pt idx="1">
                  <c:v>Знание предмета</c:v>
                </c:pt>
                <c:pt idx="2">
                  <c:v>Регулятивные действия</c:v>
                </c:pt>
                <c:pt idx="3">
                  <c:v>Коммуникация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0.34</c:v>
                </c:pt>
                <c:pt idx="2">
                  <c:v>0.43</c:v>
                </c:pt>
                <c:pt idx="3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Самостоятельно приобретенные знания</c:v>
                </c:pt>
                <c:pt idx="1">
                  <c:v>Знание предмета</c:v>
                </c:pt>
                <c:pt idx="2">
                  <c:v>Регулятивные действия</c:v>
                </c:pt>
                <c:pt idx="3">
                  <c:v>Коммуникация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0.47</c:v>
                </c:pt>
                <c:pt idx="1">
                  <c:v>0.66</c:v>
                </c:pt>
                <c:pt idx="2">
                  <c:v>0.56999999999999995</c:v>
                </c:pt>
                <c:pt idx="3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37632"/>
        <c:axId val="128439424"/>
      </c:barChart>
      <c:catAx>
        <c:axId val="12843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39424"/>
        <c:crosses val="autoZero"/>
        <c:auto val="1"/>
        <c:lblAlgn val="ctr"/>
        <c:lblOffset val="100"/>
        <c:noMultiLvlLbl val="0"/>
      </c:catAx>
      <c:valAx>
        <c:axId val="128439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37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 проект </c:v>
                </c:pt>
                <c:pt idx="1">
                  <c:v>2 проект</c:v>
                </c:pt>
                <c:pt idx="2">
                  <c:v>3 проект</c:v>
                </c:pt>
                <c:pt idx="3">
                  <c:v>4 проект</c:v>
                </c:pt>
                <c:pt idx="4">
                  <c:v>5 проект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0.44750000000000001</c:v>
                </c:pt>
                <c:pt idx="1">
                  <c:v>0.42249999999999999</c:v>
                </c:pt>
                <c:pt idx="2">
                  <c:v>0.38750000000000001</c:v>
                </c:pt>
                <c:pt idx="3">
                  <c:v>0.42</c:v>
                </c:pt>
                <c:pt idx="4">
                  <c:v>0.39250000000000002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 проект </c:v>
                </c:pt>
                <c:pt idx="1">
                  <c:v>2 проект</c:v>
                </c:pt>
                <c:pt idx="2">
                  <c:v>3 проект</c:v>
                </c:pt>
                <c:pt idx="3">
                  <c:v>4 проект</c:v>
                </c:pt>
                <c:pt idx="4">
                  <c:v>5 проект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0.55249999999999999</c:v>
                </c:pt>
                <c:pt idx="1">
                  <c:v>0.57750000000000001</c:v>
                </c:pt>
                <c:pt idx="2">
                  <c:v>0.61250000000000004</c:v>
                </c:pt>
                <c:pt idx="3">
                  <c:v>0.57999999999999996</c:v>
                </c:pt>
                <c:pt idx="4">
                  <c:v>0.60750000000000004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169664"/>
        <c:axId val="130355200"/>
      </c:barChart>
      <c:catAx>
        <c:axId val="12916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55200"/>
        <c:crosses val="autoZero"/>
        <c:auto val="1"/>
        <c:lblAlgn val="ctr"/>
        <c:lblOffset val="100"/>
        <c:noMultiLvlLbl val="0"/>
      </c:catAx>
      <c:valAx>
        <c:axId val="13035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16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Ильназ Зуфарович</dc:creator>
  <cp:lastModifiedBy>Admin</cp:lastModifiedBy>
  <cp:revision>4</cp:revision>
  <dcterms:created xsi:type="dcterms:W3CDTF">2019-01-09T08:19:00Z</dcterms:created>
  <dcterms:modified xsi:type="dcterms:W3CDTF">2019-01-11T06:09:00Z</dcterms:modified>
</cp:coreProperties>
</file>